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Obec Teplička, Teplička č.p. 40</w:t>
      </w:r>
    </w:p>
    <w:p>
      <w:pPr>
        <w:pStyle w:val="NoSpacing"/>
        <w:rPr/>
      </w:pPr>
      <w:r>
        <w:rPr/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/>
        <w:drawing>
          <wp:inline distT="0" distB="0" distL="0" distR="0">
            <wp:extent cx="4420870" cy="2962275"/>
            <wp:effectExtent l="0" t="0" r="0" b="0"/>
            <wp:docPr id="1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kreslenáCA505P6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NÁVRH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Závěrečný účet obce Teplička </w:t>
      </w:r>
    </w:p>
    <w:p>
      <w:pPr>
        <w:pStyle w:val="Normal"/>
        <w:jc w:val="center"/>
        <w:rPr/>
      </w:pPr>
      <w:r>
        <w:rPr>
          <w:b/>
          <w:sz w:val="48"/>
          <w:szCs w:val="48"/>
        </w:rPr>
        <w:t>za rok 2019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Závěrečný účet obce Teplička za rok 2019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(§ 17 zákona číslo 250/2000 Sb., o rozpočtových pravidlech územních rozpočtů, ve znění pozdějších předpisů)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Údaje o obci: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Identifikační číslo:</w:t>
        <w:tab/>
        <w:tab/>
        <w:t>00573299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Název:</w:t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>Obec Teplička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Adresa: </w:t>
        <w:tab/>
        <w:tab/>
        <w:tab/>
        <w:t>Teplička, č.p. 40, 364 64  Bečov nad Teplou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I. </w:t>
      </w:r>
      <w:r>
        <w:rPr>
          <w:rFonts w:cs="Times New Roman" w:ascii="Times New Roman" w:hAnsi="Times New Roman"/>
          <w:sz w:val="24"/>
          <w:szCs w:val="24"/>
        </w:rPr>
        <w:t>Finanční hospodaření obce Teplička se řídí ročním rozpočtem. Rozpočet obce Teplička na rok 2019 byl schválen jako schodkový usnesením zastupitelstva obce č.9.7. ze dne 20.12.2018,  když závaznými ukazateli jsou paragrafy.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průběhu roku byly zastupitelstvem obce schváleny rozpočtové opatření, jak na straně příjmů, tak na straně výdajů.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Znění schodkového rozpočtu obce Teplička k 31.12.2019 </w:t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2"/>
        <w:gridCol w:w="2124"/>
        <w:gridCol w:w="1839"/>
        <w:gridCol w:w="3156"/>
      </w:tblGrid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Upravený rozpočet</w:t>
            </w:r>
          </w:p>
        </w:tc>
        <w:tc>
          <w:tcPr>
            <w:tcW w:w="3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Skutečné plnění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 31.12.2019                 %</w:t>
            </w:r>
          </w:p>
        </w:tc>
      </w:tr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Příjmy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1.717.000,-</w:t>
            </w:r>
          </w:p>
        </w:tc>
        <w:tc>
          <w:tcPr>
            <w:tcW w:w="1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2.015.914,10</w:t>
            </w:r>
          </w:p>
        </w:tc>
        <w:tc>
          <w:tcPr>
            <w:tcW w:w="3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2.015.914,10                  100</w:t>
            </w:r>
          </w:p>
        </w:tc>
      </w:tr>
      <w:tr>
        <w:trPr/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Výdaje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4.217.000,-</w:t>
            </w:r>
          </w:p>
        </w:tc>
        <w:tc>
          <w:tcPr>
            <w:tcW w:w="1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4.515.914,10</w:t>
            </w:r>
          </w:p>
        </w:tc>
        <w:tc>
          <w:tcPr>
            <w:tcW w:w="3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1.418.597,60                 31,4</w:t>
            </w:r>
          </w:p>
        </w:tc>
      </w:tr>
      <w:tr>
        <w:trPr>
          <w:trHeight w:val="376" w:hRule="atLeast"/>
        </w:trPr>
        <w:tc>
          <w:tcPr>
            <w:tcW w:w="20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Saldo-financování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2.500.000,-</w:t>
            </w:r>
          </w:p>
        </w:tc>
        <w:tc>
          <w:tcPr>
            <w:tcW w:w="1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2.500.000,-</w:t>
            </w:r>
          </w:p>
        </w:tc>
        <w:tc>
          <w:tcPr>
            <w:tcW w:w="3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-597.316,50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Výsledek hospodaření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Hodnocení plnění rozpočtu z výkazu Fin 2 – 12M:</w:t>
      </w:r>
    </w:p>
    <w:p>
      <w:pPr>
        <w:pStyle w:val="Normal"/>
        <w:jc w:val="both"/>
        <w:rPr>
          <w:color w:val="000000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V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 příjmové části byly vytvořeny příjmy po konsolidaci ve výši  </w:t>
      </w:r>
      <w:r>
        <w:rPr>
          <w:rFonts w:cs="Times New Roman" w:ascii="Times New Roman" w:hAnsi="Times New Roman"/>
          <w:color w:val="000000"/>
          <w:sz w:val="24"/>
          <w:szCs w:val="24"/>
        </w:rPr>
        <w:t>2.015.914,10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Kč (tj. plnění příjmů k upravenému rozpočtu na </w:t>
      </w:r>
      <w:r>
        <w:rPr>
          <w:rFonts w:cs="Times New Roman" w:ascii="Times New Roman" w:hAnsi="Times New Roman"/>
          <w:color w:val="000000"/>
          <w:sz w:val="24"/>
          <w:szCs w:val="24"/>
        </w:rPr>
        <w:t>100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%) a ve výdajové části bylo čerpání výdajů po konsolidaci ve výši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1.418.597,60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Kč (tj. plnění k upravenému rozpočtu na  </w:t>
      </w:r>
      <w:r>
        <w:rPr>
          <w:rFonts w:cs="Times New Roman" w:ascii="Times New Roman" w:hAnsi="Times New Roman"/>
          <w:color w:val="000000"/>
          <w:sz w:val="24"/>
          <w:szCs w:val="24"/>
        </w:rPr>
        <w:t>31,4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%).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Změna stavu prostředků na běžných bankovních účtech (SÚ 231)</w:t>
      </w:r>
    </w:p>
    <w:tbl>
      <w:tblPr>
        <w:tblStyle w:val="Mkatabulky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2"/>
        <w:gridCol w:w="2303"/>
        <w:gridCol w:w="2302"/>
        <w:gridCol w:w="2303"/>
      </w:tblGrid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Počáteční stav k 1.1.2019 v Kč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Konečný stav k 31.12.2019 v Kč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Změna stavu prostředků v Kč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Česká spořitelna – BÚ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499.498,41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225.484,83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-274.013,58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ČNB – běžný účet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2.461.452,06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3332668,91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+871.216,90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Reiffaisen bank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104.683,62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104796,85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+113,23</w:t>
            </w:r>
          </w:p>
        </w:tc>
      </w:tr>
      <w:tr>
        <w:trPr/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Účet  celkem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3.065.634,09</w:t>
            </w:r>
          </w:p>
        </w:tc>
        <w:tc>
          <w:tcPr>
            <w:tcW w:w="2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3.662.950,59</w:t>
            </w:r>
          </w:p>
        </w:tc>
        <w:tc>
          <w:tcPr>
            <w:tcW w:w="23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597.316,55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II.Finanční vypořádání se státním rozpočtem, rozpočtem kraje, ke státním fondům, k fondům EU a k jiným rozpočtům v roce 2019: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Přijaté neinvestiční  transfery ze státního rozpočtu, státních fondů a regionálních rad – tj. položky 4111 až 4116   byly od počátku roku  ve výši 94.400,- Kč. 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III. Rekapitulace příjmů, výdajů a financování obce Teplička za rok 2019: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Příjmová část:</w:t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3"/>
        <w:gridCol w:w="1553"/>
        <w:gridCol w:w="1590"/>
        <w:gridCol w:w="2094"/>
        <w:gridCol w:w="1602"/>
      </w:tblGrid>
      <w:tr>
        <w:trPr/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2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Podíl na rozpočtu po změnách %</w:t>
            </w:r>
          </w:p>
        </w:tc>
      </w:tr>
      <w:tr>
        <w:trPr/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1.608.000,-</w:t>
            </w:r>
          </w:p>
        </w:tc>
        <w:tc>
          <w:tcPr>
            <w:tcW w:w="1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1.846.401,25</w:t>
            </w:r>
          </w:p>
        </w:tc>
        <w:tc>
          <w:tcPr>
            <w:tcW w:w="2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1.856.401,25</w:t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Nedaňové příjmy</w:t>
            </w:r>
          </w:p>
        </w:tc>
        <w:tc>
          <w:tcPr>
            <w:tcW w:w="15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49.000,-</w:t>
            </w:r>
          </w:p>
        </w:tc>
        <w:tc>
          <w:tcPr>
            <w:tcW w:w="1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65.112,85</w:t>
            </w:r>
          </w:p>
        </w:tc>
        <w:tc>
          <w:tcPr>
            <w:tcW w:w="2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65.112,85</w:t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Kapitálové příjmy</w:t>
            </w:r>
          </w:p>
        </w:tc>
        <w:tc>
          <w:tcPr>
            <w:tcW w:w="15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10.000,-</w:t>
            </w:r>
          </w:p>
        </w:tc>
        <w:tc>
          <w:tcPr>
            <w:tcW w:w="1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2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Přijaté transfery</w:t>
            </w:r>
          </w:p>
        </w:tc>
        <w:tc>
          <w:tcPr>
            <w:tcW w:w="15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50.000,-</w:t>
            </w:r>
          </w:p>
        </w:tc>
        <w:tc>
          <w:tcPr>
            <w:tcW w:w="1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94.400,-</w:t>
            </w:r>
          </w:p>
        </w:tc>
        <w:tc>
          <w:tcPr>
            <w:tcW w:w="2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94.400,-</w:t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1.717.000,-</w:t>
            </w:r>
          </w:p>
        </w:tc>
        <w:tc>
          <w:tcPr>
            <w:tcW w:w="15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2.015.914,10</w:t>
            </w:r>
          </w:p>
        </w:tc>
        <w:tc>
          <w:tcPr>
            <w:tcW w:w="2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2.015.914,10</w:t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Výdajová část:</w:t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3"/>
        <w:gridCol w:w="1837"/>
        <w:gridCol w:w="1840"/>
        <w:gridCol w:w="1698"/>
        <w:gridCol w:w="1464"/>
      </w:tblGrid>
      <w:tr>
        <w:trPr/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Podíl na rozpočtu po změnách %</w:t>
            </w:r>
          </w:p>
        </w:tc>
      </w:tr>
      <w:tr>
        <w:trPr/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Běžné výdaje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3.967.000,-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4.365.914,10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1.418.597,60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32,5</w:t>
            </w:r>
          </w:p>
        </w:tc>
      </w:tr>
      <w:tr>
        <w:trPr/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Kapitálové výdaje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250.000,-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150.000,-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0,-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4.217.000,-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4.515.914,10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1.418.597,60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31,4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Plnění příjmů:</w:t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2128"/>
        <w:gridCol w:w="1555"/>
        <w:gridCol w:w="1555"/>
        <w:gridCol w:w="1559"/>
        <w:gridCol w:w="1316"/>
      </w:tblGrid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Skutečnost k 31.12.2017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Plnění k UR %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1.608.000,-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1.856.401,-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1.856.4011,-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Neinv.přij.transf.SR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29.000,-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Neinv..při.transf.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50.000,-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65.400,-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65.400,-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3613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Nebytové hospod.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10.000,-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7625,-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7625,-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Komun.služby a úz.rozvoj j.n.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10.000,-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1.500,-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3725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Využití a zneš.kom.odp.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15.970,-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15970,-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Činnost místní správy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39.000,-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40.017,85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40.017,85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1.717.000,-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2.015.914,10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2.015.914,10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Pol.8115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Převod vlast.fondů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2.500.000,-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Příjmy po úpravě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4.217.000,-</w:t>
            </w:r>
          </w:p>
        </w:tc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4.515.914,10</w:t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Plnění výdajů dle paragrafů:</w:t>
      </w:r>
    </w:p>
    <w:tbl>
      <w:tblPr>
        <w:tblStyle w:val="Mkatabulky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2409"/>
        <w:gridCol w:w="1554"/>
        <w:gridCol w:w="1559"/>
        <w:gridCol w:w="1557"/>
        <w:gridCol w:w="1034"/>
      </w:tblGrid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Skutečnost k 31.12.19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Plnění k UR %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1039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Lesní hospodářství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2212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Silnice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680.000,-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570.000,-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2310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Pitná voda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2.988,-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42,7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3113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Neinv.transfery obcím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3429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Ost.zájmová činnost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50.000,-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3613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Nebyt.hospodářství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3631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Veřejné osvětlení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662.000,-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32.450,-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4,9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3721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Nebezp.odpad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1.220,65,-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3,1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3722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Sběr a odvoz komunálního odpadu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125.388,11,-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99,5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6112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Zastupitelstva obcí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410.000,-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410.000,-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319.948,-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6117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Volby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29.000,-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Činnost místní správy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2.170.000,-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2.491.914,10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845.442,84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33,9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6399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Ost.fin.op. (daně aj.)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15.000,-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12.160,-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81,1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Celkem výdaje</w:t>
            </w:r>
          </w:p>
        </w:tc>
        <w:tc>
          <w:tcPr>
            <w:tcW w:w="15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4.217.000,-</w:t>
            </w:r>
          </w:p>
        </w:tc>
        <w:tc>
          <w:tcPr>
            <w:tcW w:w="1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4.515.914,10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1.418597,60-</w:t>
            </w:r>
          </w:p>
        </w:tc>
        <w:tc>
          <w:tcPr>
            <w:tcW w:w="10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31,4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IV. Dluhová služba k 31.12.2019……………..</w:t>
        <w:tab/>
        <w:t>0 %.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V. Inventarizace majetku a závazků obce ke dni 31.12.2019: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Inventarizační komise byla ustanovena zastupitelstvem obce přijatým usnesením.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Hospodaření s majetkem obce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Obec Teplička eviduje k 31.12.2019 ve své účetní evidenci majetek  ( aktiva - netto ) ve výši 8.813.798,54 Kč. Z toho dlouhodobý nehmotný majetek v částce 196.549,- Kč</w:t>
        <w:br/>
        <w:t>a dlouhodobý hmotný majetek ve výši 4.848.618,95Kč. Z toho pozemky ve výši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3.067.845,95 Kč, stavby představují částku  1.456.973,-Kč a samost.hmotné movité věci a soubory hm.m.věcí 323.799,- Kč.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Výsledek inventarizace</w:t>
      </w:r>
      <w:r>
        <w:rPr>
          <w:rFonts w:cs="Times New Roman" w:ascii="Times New Roman" w:hAnsi="Times New Roman"/>
          <w:sz w:val="24"/>
          <w:szCs w:val="24"/>
        </w:rPr>
        <w:t xml:space="preserve">: </w:t>
        <w:tab/>
        <w:t>Inventarizační rozdíly nebyly zjištěny.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Výsledek hospodaření běžného účetního období vykazuje zisk ve výši 492.756,50 Kč (po zdanění).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VI. Informace o výsledku přezkoumání hospodaření obce Teplička za rok 2019</w:t>
      </w:r>
    </w:p>
    <w:p>
      <w:pPr>
        <w:pStyle w:val="Nadpis3"/>
        <w:ind w:left="180" w:hanging="180"/>
        <w:jc w:val="both"/>
        <w:rPr/>
      </w:pPr>
      <w:r>
        <w:rPr>
          <w:b/>
          <w:bCs/>
        </w:rPr>
        <w:t xml:space="preserve"> </w:t>
      </w:r>
      <w:r>
        <w:rPr>
          <w:b w:val="false"/>
        </w:rPr>
        <w:t>Krajský úřad Karlovarského kraje uskutečnil přezkoumání hospodaření obce Teplička za rok 2019 ve dnech 3.10.2019 (dílčí) na obecním úřadě v Tepličce  a 16.4.2020 (konečné) na Krajském úřadě Karlovarského kraje, Karlovy Vary s tímto závěrem:</w:t>
      </w:r>
    </w:p>
    <w:p>
      <w:pPr>
        <w:pStyle w:val="Nadpis3"/>
        <w:tabs>
          <w:tab w:val="clear" w:pos="720"/>
          <w:tab w:val="left" w:pos="180" w:leader="none"/>
        </w:tabs>
        <w:ind w:left="180" w:hanging="180"/>
        <w:jc w:val="both"/>
        <w:rPr/>
      </w:pPr>
      <w:r>
        <w:rPr/>
      </w:r>
    </w:p>
    <w:p>
      <w:pPr>
        <w:pStyle w:val="Nadpis3"/>
        <w:tabs>
          <w:tab w:val="clear" w:pos="720"/>
          <w:tab w:val="left" w:pos="180" w:leader="none"/>
        </w:tabs>
        <w:ind w:left="180" w:hanging="180"/>
        <w:jc w:val="both"/>
        <w:rPr/>
      </w:pPr>
      <w:r>
        <w:rPr/>
        <w:t xml:space="preserve"> </w:t>
      </w:r>
      <w:r>
        <w:rPr/>
        <w:t>ZJIŠTĚNÍ Z  PŘEZKOUMÁNÍ HOSPODAŘENÍ:</w:t>
      </w:r>
    </w:p>
    <w:p>
      <w:pPr>
        <w:pStyle w:val="Nadpis3"/>
        <w:tabs>
          <w:tab w:val="clear" w:pos="720"/>
          <w:tab w:val="left" w:pos="180" w:leader="none"/>
        </w:tabs>
        <w:ind w:left="180" w:hanging="180"/>
        <w:jc w:val="both"/>
        <w:rPr/>
      </w:pPr>
      <w:r>
        <w:rPr>
          <w:b w:val="false"/>
          <w:sz w:val="28"/>
          <w:szCs w:val="28"/>
        </w:rPr>
        <w:t xml:space="preserve">Při přezkoumání hospodaření </w:t>
      </w:r>
      <w:r>
        <w:rPr>
          <w:b w:val="false"/>
          <w:vanish/>
          <w:sz w:val="28"/>
          <w:szCs w:val="28"/>
          <w:shd w:fill="FFFF00" w:val="clear"/>
        </w:rPr>
        <w:fldChar w:fldCharType="begin"/>
      </w:r>
      <w:r>
        <w:rPr>
          <w:sz w:val="28"/>
          <w:b w:val="false"/>
          <w:shd w:fill="FFFF00" w:val="clear"/>
          <w:szCs w:val="28"/>
          <w:vanish/>
        </w:rPr>
        <w:instrText> MERGEFIELD Přezkoumání </w:instrText>
      </w:r>
      <w:r>
        <w:rPr>
          <w:sz w:val="28"/>
          <w:b w:val="false"/>
          <w:shd w:fill="FFFF00" w:val="clear"/>
          <w:szCs w:val="28"/>
          <w:vanish/>
        </w:rPr>
        <w:fldChar w:fldCharType="separate"/>
      </w:r>
      <w:r>
        <w:rPr>
          <w:sz w:val="28"/>
          <w:b w:val="false"/>
          <w:shd w:fill="FFFF00" w:val="clear"/>
          <w:szCs w:val="28"/>
          <w:vanish/>
        </w:rPr>
        <w:t>«Přezkoumání»</w:t>
      </w:r>
      <w:r>
        <w:rPr>
          <w:sz w:val="28"/>
          <w:b w:val="false"/>
          <w:shd w:fill="FFFF00" w:val="clear"/>
          <w:szCs w:val="28"/>
          <w:vanish/>
        </w:rPr>
        <w:fldChar w:fldCharType="end"/>
      </w:r>
      <w:r>
        <w:rPr>
          <w:b w:val="false"/>
          <w:vanish/>
          <w:sz w:val="28"/>
          <w:szCs w:val="28"/>
          <w:shd w:fill="FFFF00" w:val="clear"/>
        </w:rPr>
        <w:fldChar w:fldCharType="begin"/>
      </w:r>
      <w:r>
        <w:rPr>
          <w:sz w:val="28"/>
          <w:b w:val="false"/>
          <w:shd w:fill="FFFF00" w:val="clear"/>
          <w:szCs w:val="28"/>
          <w:vanish/>
        </w:rPr>
        <w:instrText> MERGEFIELD Územní_celek </w:instrText>
      </w:r>
      <w:r>
        <w:rPr>
          <w:sz w:val="28"/>
          <w:b w:val="false"/>
          <w:shd w:fill="FFFF00" w:val="clear"/>
          <w:szCs w:val="28"/>
          <w:vanish/>
        </w:rPr>
        <w:fldChar w:fldCharType="separate"/>
      </w:r>
      <w:r>
        <w:rPr>
          <w:sz w:val="28"/>
          <w:b w:val="false"/>
          <w:shd w:fill="FFFF00" w:val="clear"/>
          <w:szCs w:val="28"/>
          <w:vanish/>
        </w:rPr>
        <w:t>«Územní_celek»</w:t>
      </w:r>
      <w:r>
        <w:rPr>
          <w:sz w:val="28"/>
          <w:b w:val="false"/>
          <w:shd w:fill="FFFF00" w:val="clear"/>
          <w:szCs w:val="28"/>
          <w:vanish/>
        </w:rPr>
        <w:fldChar w:fldCharType="end"/>
      </w:r>
      <w:r>
        <w:rPr>
          <w:b w:val="false"/>
          <w:vanish/>
          <w:sz w:val="28"/>
          <w:szCs w:val="28"/>
        </w:rPr>
        <w:fldChar w:fldCharType="begin"/>
      </w:r>
      <w:r>
        <w:rPr>
          <w:sz w:val="28"/>
          <w:b w:val="false"/>
          <w:szCs w:val="28"/>
          <w:vanish/>
        </w:rPr>
        <w:instrText> MERGEFIELD DeleteField </w:instrText>
      </w:r>
      <w:r>
        <w:rPr>
          <w:sz w:val="28"/>
          <w:b w:val="false"/>
          <w:szCs w:val="28"/>
          <w:vanish/>
        </w:rPr>
        <w:fldChar w:fldCharType="separate"/>
      </w:r>
      <w:r>
        <w:rPr>
          <w:sz w:val="28"/>
          <w:b w:val="false"/>
          <w:szCs w:val="28"/>
          <w:vanish/>
        </w:rPr>
        <w:t>«DeleteField»</w:t>
      </w:r>
      <w:r>
        <w:rPr>
          <w:sz w:val="28"/>
          <w:b w:val="false"/>
          <w:szCs w:val="28"/>
          <w:vanish/>
        </w:rPr>
        <w:fldChar w:fldCharType="end"/>
      </w:r>
      <w:r>
        <w:rPr>
          <w:b w:val="false"/>
          <w:sz w:val="28"/>
          <w:szCs w:val="28"/>
        </w:rPr>
        <w:t xml:space="preserve">obce </w:t>
      </w:r>
      <w:r>
        <w:rPr>
          <w:b w:val="false"/>
          <w:vanish/>
          <w:sz w:val="28"/>
          <w:szCs w:val="28"/>
        </w:rPr>
        <w:fldChar w:fldCharType="begin"/>
      </w:r>
      <w:r>
        <w:rPr>
          <w:sz w:val="28"/>
          <w:b w:val="false"/>
          <w:szCs w:val="28"/>
          <w:vanish/>
        </w:rPr>
        <w:instrText> MERGEFIELD DeleteField </w:instrText>
      </w:r>
      <w:r>
        <w:rPr>
          <w:sz w:val="28"/>
          <w:b w:val="false"/>
          <w:szCs w:val="28"/>
          <w:vanish/>
        </w:rPr>
        <w:fldChar w:fldCharType="separate"/>
      </w:r>
      <w:r>
        <w:rPr>
          <w:sz w:val="28"/>
          <w:b w:val="false"/>
          <w:szCs w:val="28"/>
          <w:vanish/>
        </w:rPr>
        <w:t>«DeleteField»</w:t>
      </w:r>
      <w:r>
        <w:rPr>
          <w:sz w:val="28"/>
          <w:b w:val="false"/>
          <w:szCs w:val="28"/>
          <w:vanish/>
        </w:rPr>
        <w:fldChar w:fldCharType="end"/>
      </w:r>
      <w:r>
        <w:rPr>
          <w:b w:val="false"/>
          <w:vanish/>
          <w:sz w:val="28"/>
          <w:szCs w:val="28"/>
          <w:highlight w:val="green"/>
        </w:rPr>
        <w:fldChar w:fldCharType="begin"/>
      </w:r>
      <w:r>
        <w:rPr>
          <w:sz w:val="28"/>
          <w:b w:val="false"/>
          <w:szCs w:val="28"/>
          <w:vanish/>
          <w:highlight w:val="green"/>
        </w:rPr>
        <w:instrText> MERGEFIELD Právní_forma_2._pád </w:instrText>
      </w:r>
      <w:r>
        <w:rPr>
          <w:sz w:val="28"/>
          <w:b w:val="false"/>
          <w:szCs w:val="28"/>
          <w:vanish/>
          <w:highlight w:val="green"/>
        </w:rPr>
        <w:fldChar w:fldCharType="separate"/>
      </w:r>
      <w:r>
        <w:rPr>
          <w:sz w:val="28"/>
          <w:b w:val="false"/>
          <w:szCs w:val="28"/>
          <w:vanish/>
          <w:highlight w:val="green"/>
        </w:rPr>
        <w:t>«Právní_forma_2._pád»</w:t>
      </w:r>
      <w:r>
        <w:rPr>
          <w:sz w:val="28"/>
          <w:b w:val="false"/>
          <w:szCs w:val="28"/>
          <w:vanish/>
          <w:highlight w:val="green"/>
        </w:rPr>
        <w:fldChar w:fldCharType="end"/>
      </w:r>
      <w:r>
        <w:rPr>
          <w:b w:val="false"/>
          <w:vanish/>
          <w:sz w:val="28"/>
          <w:szCs w:val="28"/>
        </w:rPr>
        <w:fldChar w:fldCharType="begin"/>
      </w:r>
      <w:r>
        <w:rPr>
          <w:sz w:val="28"/>
          <w:b w:val="false"/>
          <w:szCs w:val="28"/>
          <w:vanish/>
        </w:rPr>
        <w:instrText> MERGEFIELD DeleteField </w:instrText>
      </w:r>
      <w:r>
        <w:rPr>
          <w:sz w:val="28"/>
          <w:b w:val="false"/>
          <w:szCs w:val="28"/>
          <w:vanish/>
        </w:rPr>
        <w:fldChar w:fldCharType="separate"/>
      </w:r>
      <w:r>
        <w:rPr>
          <w:sz w:val="28"/>
          <w:b w:val="false"/>
          <w:szCs w:val="28"/>
          <w:vanish/>
        </w:rPr>
        <w:t>«DeleteField»</w:t>
      </w:r>
      <w:r>
        <w:rPr>
          <w:sz w:val="28"/>
          <w:b w:val="false"/>
          <w:szCs w:val="28"/>
          <w:vanish/>
        </w:rPr>
        <w:fldChar w:fldCharType="end"/>
      </w:r>
      <w:r>
        <w:rPr>
          <w:b w:val="false"/>
          <w:sz w:val="28"/>
          <w:szCs w:val="28"/>
        </w:rPr>
        <w:t>Teplička</w:t>
      </w:r>
      <w:r>
        <w:rPr>
          <w:b w:val="false"/>
          <w:vanish/>
          <w:sz w:val="28"/>
          <w:szCs w:val="28"/>
        </w:rPr>
        <w:fldChar w:fldCharType="begin"/>
      </w:r>
      <w:r>
        <w:rPr>
          <w:sz w:val="28"/>
          <w:b w:val="false"/>
          <w:szCs w:val="28"/>
          <w:vanish/>
        </w:rPr>
        <w:instrText> MERGEFIELD DeleteField </w:instrText>
      </w:r>
      <w:r>
        <w:rPr>
          <w:sz w:val="28"/>
          <w:b w:val="false"/>
          <w:szCs w:val="28"/>
          <w:vanish/>
        </w:rPr>
        <w:fldChar w:fldCharType="separate"/>
      </w:r>
      <w:r>
        <w:rPr>
          <w:sz w:val="28"/>
          <w:b w:val="false"/>
          <w:szCs w:val="28"/>
          <w:vanish/>
        </w:rPr>
        <w:t>«DeleteField»</w:t>
      </w:r>
      <w:r>
        <w:rPr>
          <w:sz w:val="28"/>
          <w:b w:val="false"/>
          <w:szCs w:val="28"/>
          <w:vanish/>
        </w:rPr>
        <w:fldChar w:fldCharType="end"/>
      </w:r>
      <w:r>
        <w:rPr>
          <w:b w:val="false"/>
          <w:vanish/>
          <w:sz w:val="28"/>
          <w:szCs w:val="28"/>
          <w:highlight w:val="green"/>
        </w:rPr>
        <w:fldChar w:fldCharType="begin"/>
      </w:r>
      <w:r>
        <w:rPr>
          <w:sz w:val="28"/>
          <w:b w:val="false"/>
          <w:szCs w:val="28"/>
          <w:vanish/>
          <w:highlight w:val="green"/>
        </w:rPr>
        <w:instrText> MERGEFIELD Název </w:instrText>
      </w:r>
      <w:r>
        <w:rPr>
          <w:sz w:val="28"/>
          <w:b w:val="false"/>
          <w:szCs w:val="28"/>
          <w:vanish/>
          <w:highlight w:val="green"/>
        </w:rPr>
        <w:fldChar w:fldCharType="separate"/>
      </w:r>
      <w:r>
        <w:rPr>
          <w:sz w:val="28"/>
          <w:b w:val="false"/>
          <w:szCs w:val="28"/>
          <w:vanish/>
          <w:highlight w:val="green"/>
        </w:rPr>
        <w:t>«Název»</w:t>
      </w:r>
      <w:r>
        <w:rPr>
          <w:sz w:val="28"/>
          <w:b w:val="false"/>
          <w:szCs w:val="28"/>
          <w:vanish/>
          <w:highlight w:val="green"/>
        </w:rPr>
        <w:fldChar w:fldCharType="end"/>
      </w:r>
      <w:r>
        <w:rPr>
          <w:b w:val="false"/>
          <w:vanish/>
          <w:sz w:val="28"/>
          <w:szCs w:val="28"/>
          <w:shd w:fill="FFFF00" w:val="clear"/>
        </w:rPr>
        <w:fldChar w:fldCharType="begin"/>
      </w:r>
      <w:r>
        <w:rPr>
          <w:sz w:val="28"/>
          <w:b w:val="false"/>
          <w:shd w:fill="FFFF00" w:val="clear"/>
          <w:szCs w:val="28"/>
          <w:vanish/>
        </w:rPr>
        <w:instrText> MERGEFIELD Územní_celek </w:instrText>
      </w:r>
      <w:r>
        <w:rPr>
          <w:sz w:val="28"/>
          <w:b w:val="false"/>
          <w:shd w:fill="FFFF00" w:val="clear"/>
          <w:szCs w:val="28"/>
          <w:vanish/>
        </w:rPr>
        <w:fldChar w:fldCharType="separate"/>
      </w:r>
      <w:r>
        <w:rPr>
          <w:sz w:val="28"/>
          <w:b w:val="false"/>
          <w:shd w:fill="FFFF00" w:val="clear"/>
          <w:szCs w:val="28"/>
          <w:vanish/>
        </w:rPr>
        <w:t>«Územní_celek»</w:t>
      </w:r>
      <w:r>
        <w:rPr>
          <w:sz w:val="28"/>
          <w:b w:val="false"/>
          <w:shd w:fill="FFFF00" w:val="clear"/>
          <w:szCs w:val="28"/>
          <w:vanish/>
        </w:rPr>
        <w:fldChar w:fldCharType="end"/>
      </w:r>
      <w:r>
        <w:rPr>
          <w:b w:val="false"/>
          <w:sz w:val="28"/>
          <w:szCs w:val="28"/>
        </w:rPr>
        <w:t xml:space="preserve"> za rok </w:t>
      </w:r>
      <w:r>
        <w:rPr>
          <w:b w:val="false"/>
          <w:vanish/>
          <w:sz w:val="28"/>
          <w:szCs w:val="28"/>
        </w:rPr>
        <w:fldChar w:fldCharType="begin"/>
      </w:r>
      <w:r>
        <w:rPr>
          <w:sz w:val="28"/>
          <w:b w:val="false"/>
          <w:szCs w:val="28"/>
          <w:vanish/>
        </w:rPr>
        <w:instrText> MERGEFIELD DeleteField </w:instrText>
      </w:r>
      <w:r>
        <w:rPr>
          <w:sz w:val="28"/>
          <w:b w:val="false"/>
          <w:szCs w:val="28"/>
          <w:vanish/>
        </w:rPr>
        <w:fldChar w:fldCharType="separate"/>
      </w:r>
      <w:r>
        <w:rPr>
          <w:sz w:val="28"/>
          <w:b w:val="false"/>
          <w:szCs w:val="28"/>
          <w:vanish/>
        </w:rPr>
        <w:t>«DeleteField»</w:t>
      </w:r>
      <w:r>
        <w:rPr>
          <w:sz w:val="28"/>
          <w:b w:val="false"/>
          <w:szCs w:val="28"/>
          <w:vanish/>
        </w:rPr>
        <w:fldChar w:fldCharType="end"/>
      </w:r>
      <w:r>
        <w:rPr>
          <w:b w:val="false"/>
          <w:sz w:val="28"/>
          <w:szCs w:val="28"/>
        </w:rPr>
        <w:t>2019</w:t>
      </w:r>
      <w:r>
        <w:rPr>
          <w:b w:val="false"/>
          <w:vanish/>
          <w:sz w:val="28"/>
          <w:szCs w:val="28"/>
          <w:shd w:fill="FFFF00" w:val="clear"/>
        </w:rPr>
        <w:t>9</w:t>
      </w:r>
    </w:p>
    <w:p>
      <w:pPr>
        <w:pStyle w:val="Normal"/>
        <w:rPr/>
      </w:pPr>
      <w:bookmarkStart w:id="0" w:name="__DdeLink__14316_3403027284"/>
      <w:r>
        <w:rPr>
          <w:u w:val="single"/>
          <w:lang w:eastAsia="cs-CZ"/>
        </w:rPr>
        <w:t xml:space="preserve">byla zjištěna následující méně závažná chyba a nedostatek: </w:t>
      </w:r>
      <w:r>
        <w:rPr>
          <w:lang w:eastAsia="cs-CZ"/>
        </w:rPr>
        <w:t>Porušený právní předpis – vyhláška č. 410/2009, kterou se provádějí některá ustanovení zákona č. 563/1991 Sb., o účetnictví, ve znění pozdějších předpisů, pro některé vybrané účetní jednotky ve znění pozdějších předpisů….. ……………… § 32 – Územní celek  nedodržel obsahové vymezení položek rozvahy „D.III. Krátkodobé závazky (napraveno)</w:t>
      </w:r>
      <w:bookmarkEnd w:id="0"/>
    </w:p>
    <w:p>
      <w:pPr>
        <w:pStyle w:val="Normal"/>
        <w:rPr>
          <w:u w:val="single"/>
        </w:rPr>
      </w:pPr>
      <w:r>
        <w:rPr>
          <w:u w:val="single"/>
          <w:lang w:eastAsia="cs-CZ"/>
        </w:rPr>
        <w:t>nebyly zjištěny závažné nedostatky.</w:t>
      </w:r>
    </w:p>
    <w:p>
      <w:pPr>
        <w:pStyle w:val="Normal"/>
        <w:rPr>
          <w:u w:val="single"/>
        </w:rPr>
      </w:pPr>
      <w:r>
        <w:rPr>
          <w:b/>
          <w:bCs/>
          <w:u w:val="single"/>
          <w:lang w:eastAsia="cs-CZ"/>
        </w:rPr>
        <w:t xml:space="preserve">Při dílčím přezkoumání  </w:t>
      </w:r>
      <w:r>
        <w:rPr>
          <w:u w:val="single"/>
          <w:lang w:eastAsia="cs-CZ"/>
        </w:rPr>
        <w:t>nebyly zjištěny méně závažné chyby a nedostatky</w:t>
      </w:r>
    </w:p>
    <w:p>
      <w:pPr>
        <w:pStyle w:val="Normal"/>
        <w:rPr>
          <w:u w:val="single"/>
        </w:rPr>
      </w:pPr>
      <w:r>
        <w:rPr>
          <w:u w:val="single"/>
          <w:lang w:eastAsia="cs-CZ"/>
        </w:rPr>
        <w:t>byl zjištěn následující nedostatek</w:t>
      </w:r>
    </w:p>
    <w:p>
      <w:pPr>
        <w:pStyle w:val="Normal"/>
        <w:rPr>
          <w:u w:val="single"/>
        </w:rPr>
      </w:pPr>
      <w:r>
        <w:rPr>
          <w:u w:val="single"/>
          <w:lang w:eastAsia="cs-CZ"/>
        </w:rPr>
        <w:t>předmět:</w:t>
      </w:r>
      <w:r>
        <w:rPr>
          <w:u w:val="none"/>
          <w:lang w:eastAsia="cs-CZ"/>
        </w:rPr>
        <w:t xml:space="preserve"> Zákon č. 420/2004 Sb. § 2 odst. 1 písm.a) plnění příjmů a výdajů rozpočtu včetně peněžních operací, týkajících se rozpočtových prostředků.</w:t>
      </w:r>
    </w:p>
    <w:p>
      <w:pPr>
        <w:pStyle w:val="Normal"/>
        <w:rPr/>
      </w:pPr>
      <w:r>
        <w:rPr>
          <w:u w:val="single"/>
          <w:lang w:eastAsia="cs-CZ"/>
        </w:rPr>
        <w:t>Porušený právní předpis:</w:t>
      </w:r>
      <w:r>
        <w:rPr>
          <w:u w:val="none"/>
          <w:lang w:eastAsia="cs-CZ"/>
        </w:rPr>
        <w:t xml:space="preserve"> zákon č. 128/2000 Sb. </w:t>
      </w:r>
      <w:r>
        <w:rPr>
          <w:u w:val="none"/>
          <w:lang w:eastAsia="cs-CZ"/>
        </w:rPr>
        <w:t>o</w:t>
      </w:r>
      <w:r>
        <w:rPr>
          <w:u w:val="none"/>
          <w:lang w:eastAsia="cs-CZ"/>
        </w:rPr>
        <w:t xml:space="preserve"> obcích, ve znění pozdějších předpisů …………. - 84/2p), kdy zastupitelstvo obce nevyslovilo souhlas se vznikem pracovněprávního vztahu mezi obcí a členem zastupitelstva před uzavřením dohod o provedení práce.  (nenapraveno)</w:t>
      </w:r>
    </w:p>
    <w:p>
      <w:pPr>
        <w:pStyle w:val="Normal"/>
        <w:jc w:val="center"/>
        <w:rPr>
          <w:u w:val="single"/>
        </w:rPr>
      </w:pPr>
      <w:r>
        <w:rPr>
          <w:b/>
          <w:bCs/>
          <w:u w:val="single"/>
          <w:lang w:eastAsia="cs-CZ"/>
        </w:rPr>
        <w:t xml:space="preserve">při konečném přezkoumání </w:t>
      </w:r>
      <w:r>
        <w:rPr>
          <w:b w:val="false"/>
          <w:bCs w:val="false"/>
          <w:u w:val="single"/>
          <w:lang w:eastAsia="cs-CZ"/>
        </w:rPr>
        <w:t>nebyly zjištěny chyby a nedostatky</w:t>
      </w:r>
    </w:p>
    <w:p>
      <w:pPr>
        <w:pStyle w:val="Normal"/>
        <w:rPr/>
      </w:pPr>
      <w:r>
        <w:rPr>
          <w:b/>
          <w:sz w:val="28"/>
          <w:szCs w:val="28"/>
          <w:lang w:eastAsia="cs-CZ"/>
        </w:rPr>
        <w:t xml:space="preserve"> </w:t>
      </w:r>
      <w:r>
        <w:rPr>
          <w:b/>
          <w:sz w:val="28"/>
          <w:szCs w:val="28"/>
          <w:lang w:eastAsia="cs-CZ"/>
        </w:rPr>
        <w:t xml:space="preserve">PLNĚNÍ OPATŘENÍ K ODSTRANĚNÍ NEDOSTATKŮ ZJIŠTĚNÝCH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u w:val="single"/>
          <w:lang w:eastAsia="cs-CZ"/>
        </w:rPr>
        <w:t>Z</w:t>
      </w:r>
      <w:r>
        <w:rPr>
          <w:b w:val="false"/>
          <w:bCs w:val="false"/>
          <w:sz w:val="24"/>
          <w:szCs w:val="24"/>
          <w:u w:val="single"/>
          <w:lang w:eastAsia="cs-CZ"/>
        </w:rPr>
        <w:t xml:space="preserve">ávažná chyba a nedostatek, </w:t>
      </w:r>
      <w:r>
        <w:rPr>
          <w:b w:val="false"/>
          <w:bCs w:val="false"/>
          <w:sz w:val="24"/>
          <w:szCs w:val="24"/>
          <w:u w:val="none"/>
          <w:lang w:eastAsia="cs-CZ"/>
        </w:rPr>
        <w:t>kdy byl p</w:t>
      </w:r>
      <w:r>
        <w:rPr>
          <w:b w:val="false"/>
          <w:bCs w:val="false"/>
          <w:sz w:val="24"/>
          <w:szCs w:val="24"/>
          <w:u w:val="none"/>
          <w:lang w:eastAsia="cs-CZ"/>
        </w:rPr>
        <w:t>o</w:t>
      </w:r>
      <w:r>
        <w:rPr>
          <w:b w:val="false"/>
          <w:bCs w:val="false"/>
          <w:sz w:val="24"/>
          <w:szCs w:val="24"/>
          <w:lang w:eastAsia="cs-CZ"/>
        </w:rPr>
        <w:t xml:space="preserve">rušený právní předpis – vyhláška č. 410/2009, kterou se provádějí některá ustanovení zákona č. 563/1991 Sb., o účetnictví, ve znění pozdějších předpisů, pro některé vybrané účetní jednotky ve znění pozdějších předpisů, § 32 – Územní celek  nedodržel obsahové vymezení položek rozvahy „D.III. Krátkodobé závazky, </w:t>
      </w:r>
      <w:r>
        <w:rPr>
          <w:b w:val="false"/>
          <w:bCs w:val="false"/>
          <w:sz w:val="24"/>
          <w:szCs w:val="24"/>
          <w:lang w:eastAsia="cs-CZ"/>
        </w:rPr>
        <w:t>byla napravena.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eastAsia="cs-CZ"/>
        </w:rPr>
        <w:t>Z</w:t>
      </w:r>
      <w:r>
        <w:rPr>
          <w:b w:val="false"/>
          <w:bCs w:val="false"/>
          <w:sz w:val="24"/>
          <w:szCs w:val="24"/>
          <w:lang w:eastAsia="cs-CZ"/>
        </w:rPr>
        <w:t>ávažný nedostatek, kdy zastupitelstvo obce nevyslovilo souhlas se vznikem pracovněprávního vztahu mezi obcí a členem zastupitelstva, byl v rámci usnesení č. 7.9. dne 7.10.2019 napraven vyslovením souhlasu zastupitelstva s uzavřením dohody o provedení práce.</w:t>
      </w:r>
    </w:p>
    <w:p>
      <w:pPr>
        <w:pStyle w:val="Normal"/>
        <w:rPr/>
      </w:pPr>
      <w:r>
        <w:rPr>
          <w:b/>
          <w:sz w:val="28"/>
          <w:szCs w:val="28"/>
          <w:lang w:eastAsia="cs-CZ"/>
        </w:rPr>
        <w:t xml:space="preserve"> </w:t>
      </w:r>
      <w:r>
        <w:rPr>
          <w:b/>
          <w:sz w:val="28"/>
          <w:szCs w:val="28"/>
          <w:lang w:eastAsia="cs-CZ"/>
        </w:rPr>
        <w:t>ZÁVĚR</w:t>
      </w:r>
    </w:p>
    <w:p>
      <w:pPr>
        <w:pStyle w:val="Normal"/>
        <w:rPr/>
      </w:pPr>
      <w:r>
        <w:rPr>
          <w:u w:val="single"/>
          <w:lang w:eastAsia="cs-CZ"/>
        </w:rPr>
        <w:t>Při přezkoumání hospodaření obce Teplička za rok 2019:</w:t>
      </w:r>
    </w:p>
    <w:p>
      <w:pPr>
        <w:pStyle w:val="Normal"/>
        <w:rPr/>
      </w:pPr>
      <w:r>
        <w:rPr>
          <w:b/>
          <w:lang w:eastAsia="cs-CZ"/>
        </w:rPr>
        <w:t>Byl zjištěn nedostatek (§ 10 odst. 3 písm. c) zákona č. 420/2004 Sb.),</w:t>
      </w:r>
      <w:r>
        <w:rPr>
          <w:lang w:eastAsia="cs-CZ"/>
        </w:rPr>
        <w:t xml:space="preserve"> kdy byla porušena povinnost zastupitelstva, kdy toto nevyslovilo souhlas se vznikem pracovněprávního vztahu mezi obcí a členem zastupitelstva.</w:t>
      </w:r>
    </w:p>
    <w:p>
      <w:pPr>
        <w:pStyle w:val="Normal"/>
        <w:rPr/>
      </w:pPr>
      <w:r>
        <w:rPr>
          <w:u w:val="single"/>
          <w:lang w:eastAsia="cs-CZ"/>
        </w:rPr>
        <w:t>U</w:t>
      </w:r>
      <w:r>
        <w:rPr>
          <w:u w:val="single"/>
          <w:lang w:eastAsia="cs-CZ"/>
        </w:rPr>
        <w:t>pozornění na případná rizika dovozená na základě zjištěných chyb a nedostatků (§ 10 odst. 4 písm. a)zák. č. 420/2004 Sb.)</w:t>
      </w:r>
    </w:p>
    <w:p>
      <w:pPr>
        <w:pStyle w:val="Normal"/>
        <w:rPr/>
      </w:pPr>
      <w:r>
        <w:rPr>
          <w:lang w:eastAsia="cs-CZ"/>
        </w:rPr>
        <w:t>Při přezkoumání hospodaření obce Teplička za daný rok se neuvádí žádná rizika</w:t>
      </w:r>
    </w:p>
    <w:p>
      <w:pPr>
        <w:pStyle w:val="Normal"/>
        <w:rPr/>
      </w:pPr>
      <w:r>
        <w:rPr/>
        <w:t>III. Podíl pohledávek a závazků na rozpočtu územního celku a podíl zastaveného majetku na celkovém majetku územního celku k 31.12.</w:t>
      </w:r>
      <w:r>
        <w:rPr>
          <w:vanish/>
          <w:shd w:fill="FFFF00" w:val="clear"/>
        </w:rPr>
        <w:fldChar w:fldCharType="begin"/>
      </w:r>
      <w:r>
        <w:rPr>
          <w:shd w:fill="FFFF00" w:val="clear"/>
          <w:vanish/>
        </w:rPr>
        <w:instrText> MERGEFIELD Přezkoumání </w:instrText>
      </w:r>
      <w:r>
        <w:rPr>
          <w:shd w:fill="FFFF00" w:val="clear"/>
          <w:vanish/>
        </w:rPr>
        <w:fldChar w:fldCharType="separate"/>
      </w:r>
      <w:r>
        <w:rPr>
          <w:shd w:fill="FFFF00" w:val="clear"/>
          <w:vanish/>
        </w:rPr>
        <w:t>«Přezkoumání»</w:t>
      </w:r>
      <w:r>
        <w:rPr>
          <w:shd w:fill="FFFF00" w:val="clear"/>
          <w:vanish/>
        </w:rPr>
        <w:fldChar w:fldCharType="end"/>
      </w:r>
      <w:r>
        <w:rPr>
          <w:vanish/>
        </w:rPr>
        <w:fldChar w:fldCharType="begin"/>
      </w:r>
      <w:r>
        <w:rPr>
          <w:vanish/>
        </w:rPr>
        <w:instrText> MERGEFIELD DeleteField </w:instrText>
      </w:r>
      <w:r>
        <w:rPr>
          <w:vanish/>
        </w:rPr>
        <w:fldChar w:fldCharType="separate"/>
      </w:r>
      <w:r>
        <w:rPr>
          <w:vanish/>
        </w:rPr>
        <w:t>«DeleteField»</w:t>
      </w:r>
      <w:r>
        <w:rPr>
          <w:vanish/>
        </w:rPr>
        <w:fldChar w:fldCharType="end"/>
      </w:r>
      <w:r>
        <w:rPr/>
        <w:t>2019 (§ 10 odst. 4 písm. b) zákona č. 420/2004 Sb.)</w:t>
      </w:r>
    </w:p>
    <w:p>
      <w:pPr>
        <w:pStyle w:val="Nadpis3"/>
        <w:tabs>
          <w:tab w:val="clear" w:pos="720"/>
          <w:tab w:val="left" w:pos="180" w:leader="none"/>
        </w:tabs>
        <w:ind w:left="180" w:hanging="180"/>
        <w:jc w:val="both"/>
        <w:rPr/>
      </w:pPr>
      <w:r>
        <w:rPr/>
      </w:r>
    </w:p>
    <w:p>
      <w:pPr>
        <w:pStyle w:val="Normal"/>
        <w:keepNext w:val="true"/>
        <w:spacing w:before="120" w:after="200"/>
        <w:ind w:firstLine="540"/>
        <w:rPr/>
      </w:pPr>
      <w:r>
        <w:rPr>
          <w:rFonts w:cs="Times New Roman" w:ascii="Times New Roman" w:hAnsi="Times New Roman"/>
          <w:vanish/>
          <w:sz w:val="24"/>
          <w:szCs w:val="24"/>
          <w:shd w:fill="FFFF00" w:val="clear"/>
        </w:rPr>
        <w:fldChar w:fldCharType="begin"/>
      </w:r>
      <w:r>
        <w:rPr>
          <w:sz w:val="24"/>
          <w:shd w:fill="FFFF00" w:val="clear"/>
          <w:szCs w:val="24"/>
          <w:vanish/>
          <w:rFonts w:cs="Times New Roman" w:ascii="Times New Roman" w:hAnsi="Times New Roman"/>
        </w:rPr>
        <w:instrText> MERGEFIELD Přezkoumání </w:instrText>
      </w:r>
      <w:r>
        <w:rPr>
          <w:sz w:val="24"/>
          <w:shd w:fill="FFFF00" w:val="clear"/>
          <w:szCs w:val="24"/>
          <w:vanish/>
          <w:rFonts w:cs="Times New Roman" w:ascii="Times New Roman" w:hAnsi="Times New Roman"/>
        </w:rPr>
        <w:fldChar w:fldCharType="separate"/>
      </w:r>
      <w:r>
        <w:rPr>
          <w:sz w:val="24"/>
          <w:shd w:fill="FFFF00" w:val="clear"/>
          <w:szCs w:val="24"/>
          <w:vanish/>
          <w:rFonts w:cs="Times New Roman" w:ascii="Times New Roman" w:hAnsi="Times New Roman"/>
        </w:rPr>
        <w:t>«Přezkoumání»</w:t>
      </w:r>
      <w:r>
        <w:rPr>
          <w:sz w:val="24"/>
          <w:shd w:fill="FFFF00" w:val="clear"/>
          <w:szCs w:val="24"/>
          <w:vanish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vanish/>
          <w:sz w:val="24"/>
          <w:szCs w:val="24"/>
          <w:shd w:fill="FFFF00" w:val="clear"/>
        </w:rPr>
        <w:fldChar w:fldCharType="begin"/>
      </w:r>
      <w:r>
        <w:rPr>
          <w:sz w:val="24"/>
          <w:shd w:fill="FFFF00" w:val="clear"/>
          <w:szCs w:val="24"/>
          <w:vanish/>
          <w:rFonts w:cs="Times New Roman" w:ascii="Times New Roman" w:hAnsi="Times New Roman"/>
        </w:rPr>
        <w:instrText> MERGEFIELD Ukazatel </w:instrText>
      </w:r>
      <w:r>
        <w:rPr>
          <w:sz w:val="24"/>
          <w:shd w:fill="FFFF00" w:val="clear"/>
          <w:szCs w:val="24"/>
          <w:vanish/>
          <w:rFonts w:cs="Times New Roman" w:ascii="Times New Roman" w:hAnsi="Times New Roman"/>
        </w:rPr>
        <w:fldChar w:fldCharType="separate"/>
      </w:r>
      <w:r>
        <w:rPr>
          <w:sz w:val="24"/>
          <w:shd w:fill="FFFF00" w:val="clear"/>
          <w:szCs w:val="24"/>
          <w:vanish/>
          <w:rFonts w:cs="Times New Roman" w:ascii="Times New Roman" w:hAnsi="Times New Roman"/>
        </w:rPr>
        <w:t>«Ukazatel»</w:t>
      </w:r>
      <w:r>
        <w:rPr>
          <w:sz w:val="24"/>
          <w:shd w:fill="FFFF00" w:val="clear"/>
          <w:szCs w:val="24"/>
          <w:vanish/>
          <w:rFonts w:cs="Times New Roman" w:ascii="Times New Roman" w:hAnsi="Times New Roman"/>
        </w:rPr>
        <w:fldChar w:fldCharType="end"/>
      </w:r>
    </w:p>
    <w:tbl>
      <w:tblPr>
        <w:tblW w:w="8602" w:type="dxa"/>
        <w:jc w:val="left"/>
        <w:tblInd w:w="61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839"/>
        <w:gridCol w:w="1762"/>
      </w:tblGrid>
      <w:tr>
        <w:trPr>
          <w:trHeight w:val="270" w:hRule="atLeast"/>
        </w:trPr>
        <w:tc>
          <w:tcPr>
            <w:tcW w:w="6839" w:type="dxa"/>
            <w:tcBorders/>
            <w:shd w:fill="auto" w:val="clear"/>
          </w:tcPr>
          <w:p>
            <w:pPr>
              <w:pStyle w:val="Normal"/>
              <w:keepNext w:val="tru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a) podíl pohledávek na rozpočtu územního celku</w:t>
            </w:r>
          </w:p>
        </w:tc>
        <w:tc>
          <w:tcPr>
            <w:tcW w:w="1762" w:type="dxa"/>
            <w:tcBorders/>
            <w:shd w:fill="auto" w:val="clear"/>
          </w:tcPr>
          <w:p>
            <w:pPr>
              <w:pStyle w:val="Normal"/>
              <w:keepNext w:val="true"/>
              <w:spacing w:before="120" w:after="200"/>
              <w:jc w:val="right"/>
              <w:rPr/>
            </w:pPr>
            <w:r>
              <w:rPr/>
              <w:t>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>
        <w:trPr>
          <w:trHeight w:val="225" w:hRule="atLeast"/>
        </w:trPr>
        <w:tc>
          <w:tcPr>
            <w:tcW w:w="6839" w:type="dxa"/>
            <w:tcBorders/>
            <w:shd w:fill="auto" w:val="clear"/>
          </w:tcPr>
          <w:p>
            <w:pPr>
              <w:pStyle w:val="Normal"/>
              <w:keepNext w:val="tru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b) podíl závazků na rozpočtu územního celku</w:t>
            </w:r>
          </w:p>
        </w:tc>
        <w:tc>
          <w:tcPr>
            <w:tcW w:w="1762" w:type="dxa"/>
            <w:tcBorders/>
            <w:shd w:fill="auto" w:val="clear"/>
          </w:tcPr>
          <w:p>
            <w:pPr>
              <w:pStyle w:val="Normal"/>
              <w:keepNext w:val="true"/>
              <w:spacing w:before="120" w:after="200"/>
              <w:jc w:val="righ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2,39 %</w:t>
            </w:r>
          </w:p>
        </w:tc>
      </w:tr>
      <w:tr>
        <w:trPr>
          <w:trHeight w:val="270" w:hRule="atLeast"/>
        </w:trPr>
        <w:tc>
          <w:tcPr>
            <w:tcW w:w="6839" w:type="dxa"/>
            <w:tcBorders/>
            <w:shd w:fill="auto" w:val="clear"/>
          </w:tcPr>
          <w:p>
            <w:pPr>
              <w:pStyle w:val="Normal"/>
              <w:keepNext w:val="true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c) podíl zastaveného majetku na celkovém majetku územního celku</w:t>
            </w:r>
          </w:p>
        </w:tc>
        <w:tc>
          <w:tcPr>
            <w:tcW w:w="1762" w:type="dxa"/>
            <w:tcBorders/>
            <w:shd w:fill="auto" w:val="clear"/>
          </w:tcPr>
          <w:p>
            <w:pPr>
              <w:pStyle w:val="Normal"/>
              <w:keepNext w:val="true"/>
              <w:spacing w:before="120" w:after="200"/>
              <w:jc w:val="right"/>
              <w:rPr/>
            </w:pPr>
            <w:r>
              <w:rPr/>
              <w:t>0</w:t>
            </w:r>
            <w:r>
              <w:rPr>
                <w:rFonts w:cs="Times New Roman" w:ascii="Times New Roman" w:hAnsi="Times New Roman"/>
                <w:vanish/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  <w:vanish/>
                <w:rFonts w:cs="Times New Roman" w:ascii="Times New Roman" w:hAnsi="Times New Roman"/>
              </w:rPr>
              <w:instrText> MERGEFIELD DeleteField </w:instrText>
            </w:r>
            <w:r>
              <w:rPr>
                <w:sz w:val="24"/>
                <w:szCs w:val="24"/>
                <w:vanish/>
                <w:rFonts w:cs="Times New Roman" w:ascii="Times New Roman" w:hAnsi="Times New Roman"/>
              </w:rPr>
              <w:fldChar w:fldCharType="separate"/>
            </w:r>
            <w:r>
              <w:rPr>
                <w:sz w:val="24"/>
                <w:szCs w:val="24"/>
                <w:vanish/>
                <w:rFonts w:cs="Times New Roman" w:ascii="Times New Roman" w:hAnsi="Times New Roman"/>
              </w:rPr>
              <w:t>«DeleteField»</w:t>
            </w:r>
            <w:r>
              <w:rPr>
                <w:sz w:val="24"/>
                <w:szCs w:val="24"/>
                <w:vanish/>
                <w:rFonts w:cs="Times New Roman" w:ascii="Times New Roman" w:hAnsi="Times New Roman"/>
              </w:rPr>
              <w:fldChar w:fldCharType="end"/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Plné znění Zprávy o výsledku přezkoumání hospodaření obce Teplička za rok 2019 je přílohou č. 1 k závěrečnému účtu obce Teplička za rok 2019.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Další výkazy k závěrečnému účtu za rok 2019: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Příloha č. 2 </w:t>
        <w:tab/>
        <w:t>Fin 31.12.2019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Příloha č. 3 </w:t>
        <w:tab/>
        <w:t>Rozvaha k 31.12.2019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Příloha č. 4</w:t>
        <w:tab/>
        <w:t>Výkaz zisku a ztráty k 31.12.2019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Příloha č. 5 </w:t>
        <w:tab/>
        <w:t>Výkaz Přílohy sestavený k 31.12.2019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Všechny přílohy jsou k nahlédnutí na obecním úřadě v Tepličce v úřední dny pondělí a čtvrtek  od 17,00 hodin do 20,00 hodin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Návrh na usnesení: </w:t>
      </w:r>
      <w:r>
        <w:rPr>
          <w:rFonts w:cs="Times New Roman" w:ascii="Times New Roman" w:hAnsi="Times New Roman"/>
          <w:sz w:val="24"/>
          <w:szCs w:val="24"/>
        </w:rPr>
        <w:t xml:space="preserve">„Zastupitelstvo obce Teplička  projednalo a schvaluje celoroční hospodaření obce - Závěrečný účet a Účetní závěrku  obce za rok 2019 s uvedenými přílohami, včetně zprávy o výsledku přezkoumání hospodaření obce Teplička za rok 2019 s výhradou.“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Chyby a nedostatky, u kterých bylo možné provézt nápravu – tak bylo učiněno a  Obec proto nepřijala žádná další opatření k  nápravě.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Závěrečný účet včetně příloh i účetní závěrka obce za rok 2019 je taktéž zveřejněna na internetových stránkách obce – </w:t>
      </w:r>
      <w:hyperlink r:id="rId3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www.teplicka.cz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…. Index.php?oid=227999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V Tepličce dne  18.5.2020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Vyvěšeno dne 18.5.2020</w:t>
        <w:tab/>
        <w:tab/>
        <w:tab/>
        <w:tab/>
        <w:tab/>
        <w:tab/>
        <w:t xml:space="preserve">sejmuto: 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47010902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622423"/>
      </w:pBdr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9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1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3">
    <w:name w:val="Heading 3"/>
    <w:basedOn w:val="Normal"/>
    <w:next w:val="Normal"/>
    <w:link w:val="Nadpis3Char"/>
    <w:uiPriority w:val="99"/>
    <w:qFormat/>
    <w:rsid w:val="002778c4"/>
    <w:pPr>
      <w:keepNext w:val="tru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625e9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692da4"/>
    <w:rPr/>
  </w:style>
  <w:style w:type="character" w:styleId="ZpatChar" w:customStyle="1">
    <w:name w:val="Zápatí Char"/>
    <w:basedOn w:val="DefaultParagraphFont"/>
    <w:link w:val="Zpat"/>
    <w:uiPriority w:val="99"/>
    <w:qFormat/>
    <w:rsid w:val="00692da4"/>
    <w:rPr/>
  </w:style>
  <w:style w:type="character" w:styleId="Nadpis3Char" w:customStyle="1">
    <w:name w:val="Nadpis 3 Char"/>
    <w:basedOn w:val="DefaultParagraphFont"/>
    <w:link w:val="Nadpis3"/>
    <w:uiPriority w:val="99"/>
    <w:qFormat/>
    <w:rsid w:val="002778c4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742196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Calibri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16"/>
    </w:rPr>
  </w:style>
  <w:style w:type="character" w:styleId="ListLabel6">
    <w:name w:val="ListLabel 6"/>
    <w:qFormat/>
    <w:rPr>
      <w:sz w:val="16"/>
    </w:rPr>
  </w:style>
  <w:style w:type="character" w:styleId="ListLabel7">
    <w:name w:val="ListLabel 7"/>
    <w:qFormat/>
    <w:rPr>
      <w:rFonts w:ascii="Times New Roman" w:hAnsi="Times New Roman"/>
      <w:sz w:val="24"/>
    </w:rPr>
  </w:style>
  <w:style w:type="character" w:styleId="ListLabel8">
    <w:name w:val="ListLabel 8"/>
    <w:qFormat/>
    <w:rPr>
      <w:rFonts w:eastAsia="Calibri" w:cs="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Times New Roman" w:hAnsi="Times New Roman" w:cs="Times New Roman"/>
      <w:sz w:val="24"/>
      <w:szCs w:val="24"/>
    </w:rPr>
  </w:style>
  <w:style w:type="character" w:styleId="ListLabel13">
    <w:name w:val="ListLabel 13"/>
    <w:qFormat/>
    <w:rPr>
      <w:rFonts w:ascii="Times New Roman" w:hAnsi="Times New Roman" w:cs="Times New Roman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imes New Roman" w:hAnsi="Times New Roman" w:cs="Times New Roman"/>
      <w:sz w:val="24"/>
      <w:szCs w:val="24"/>
    </w:rPr>
  </w:style>
  <w:style w:type="character" w:styleId="ListLabel32">
    <w:name w:val="ListLabel 32"/>
    <w:qFormat/>
    <w:rPr>
      <w:rFonts w:ascii="Times New Roman" w:hAnsi="Times New Roman" w:cs="Times New Roman"/>
      <w:sz w:val="24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  <w:sz w:val="24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Times New Roman" w:hAnsi="Times New Roman" w:cs="Times New Roman"/>
      <w:sz w:val="24"/>
      <w:szCs w:val="24"/>
    </w:rPr>
  </w:style>
  <w:style w:type="character" w:styleId="ListLabel51">
    <w:name w:val="ListLabel 51"/>
    <w:qFormat/>
    <w:rPr>
      <w:rFonts w:ascii="Times New Roman" w:hAnsi="Times New Roman" w:cs="Times New Roman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  <w:sz w:val="24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Times New Roman" w:hAnsi="Times New Roman" w:cs="Times New Roman"/>
      <w:sz w:val="24"/>
      <w:szCs w:val="24"/>
    </w:rPr>
  </w:style>
  <w:style w:type="character" w:styleId="ListLabel70">
    <w:name w:val="ListLabel 70"/>
    <w:qFormat/>
    <w:rPr>
      <w:rFonts w:ascii="Times New Roman" w:hAnsi="Times New Roman" w:cs="Times New Roman"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Times New Roman" w:hAnsi="Times New Roman" w:cs="Times New Roman"/>
      <w:sz w:val="24"/>
      <w:szCs w:val="24"/>
    </w:rPr>
  </w:style>
  <w:style w:type="character" w:styleId="ListLabel89">
    <w:name w:val="ListLabel 89"/>
    <w:qFormat/>
    <w:rPr>
      <w:rFonts w:ascii="Times New Roman" w:hAnsi="Times New Roman" w:cs="Times New Roman"/>
      <w:sz w:val="24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  <w:sz w:val="24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ascii="Times New Roman" w:hAnsi="Times New Roman" w:cs="Times New Roman"/>
      <w:sz w:val="24"/>
      <w:szCs w:val="24"/>
    </w:rPr>
  </w:style>
  <w:style w:type="character" w:styleId="ListLabel108">
    <w:name w:val="ListLabel 108"/>
    <w:qFormat/>
    <w:rPr>
      <w:rFonts w:ascii="Times New Roman" w:hAnsi="Times New Roman" w:cs="Times New Roman"/>
      <w:sz w:val="24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  <w:sz w:val="24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ascii="Times New Roman" w:hAnsi="Times New Roman" w:cs="Times New Roman"/>
      <w:sz w:val="24"/>
      <w:szCs w:val="24"/>
    </w:rPr>
  </w:style>
  <w:style w:type="character" w:styleId="ListLabel127">
    <w:name w:val="ListLabel 127"/>
    <w:qFormat/>
    <w:rPr>
      <w:rFonts w:cs="Times New Roman"/>
      <w:sz w:val="24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Times New Roman" w:hAnsi="Times New Roman" w:cs="Times New Roman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625e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692da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692da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51e68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1716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6456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teplicka.cz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LibreOffice/6.2.4.2$Windows_X86_64 LibreOffice_project/2412653d852ce75f65fbfa83fb7e7b669a126d64</Application>
  <Pages>6</Pages>
  <Words>1253</Words>
  <Characters>7561</Characters>
  <CharactersWithSpaces>8656</CharactersWithSpaces>
  <Paragraphs>299</Paragraphs>
  <Company>Karlovarský kraj Krajský úřad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2018-06-11T16:59:00Z</dcterms:created>
  <dc:creator>Sloupová Olga</dc:creator>
  <dc:description/>
  <dc:language>cs-CZ</dc:language>
  <cp:lastModifiedBy/>
  <cp:lastPrinted>2020-05-18T19:26:19Z</cp:lastPrinted>
  <dcterms:modified xsi:type="dcterms:W3CDTF">2020-05-18T19:26:28Z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Karlovarský kraj Krajský úřad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